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5729" w:rsidRPr="00FB5729" w:rsidRDefault="00FB5729" w:rsidP="00FB5729">
      <w:pPr>
        <w:pBdr>
          <w:bottom w:val="single" w:sz="4" w:space="1" w:color="auto"/>
        </w:pBdr>
        <w:spacing w:before="100" w:beforeAutospacing="1" w:after="100" w:afterAutospacing="1" w:line="240" w:lineRule="auto"/>
        <w:rPr>
          <w:rFonts w:asciiTheme="majorHAnsi" w:eastAsia="Times New Roman" w:hAnsiTheme="majorHAnsi" w:cstheme="minorHAnsi"/>
          <w:b/>
          <w:sz w:val="36"/>
          <w:szCs w:val="24"/>
          <w:lang w:eastAsia="fr-FR"/>
        </w:rPr>
      </w:pPr>
      <w:r w:rsidRPr="00FB5729">
        <w:rPr>
          <w:rFonts w:asciiTheme="majorHAnsi" w:eastAsia="Times New Roman" w:hAnsiTheme="majorHAnsi" w:cstheme="minorHAnsi"/>
          <w:b/>
          <w:sz w:val="36"/>
          <w:szCs w:val="24"/>
          <w:lang w:eastAsia="fr-FR"/>
        </w:rPr>
        <w:t>Kant  - Les antinomies de la raison pure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 xml:space="preserve">Les </w:t>
      </w:r>
      <w:r w:rsidRPr="00FB5729">
        <w:rPr>
          <w:rFonts w:asciiTheme="majorHAnsi" w:hAnsiTheme="majorHAnsi"/>
          <w:b/>
          <w:bCs/>
          <w:lang w:eastAsia="fr-FR"/>
        </w:rPr>
        <w:t>antinomies de la raison pure</w:t>
      </w:r>
      <w:r w:rsidRPr="00FB5729">
        <w:rPr>
          <w:rFonts w:asciiTheme="majorHAnsi" w:hAnsiTheme="majorHAnsi"/>
          <w:lang w:eastAsia="fr-FR"/>
        </w:rPr>
        <w:t xml:space="preserve"> sont l’un des moments les plus célèbres — et les plus retors — de la </w:t>
      </w:r>
      <w:r w:rsidRPr="00FB5729">
        <w:rPr>
          <w:rFonts w:asciiTheme="majorHAnsi" w:hAnsiTheme="majorHAnsi"/>
          <w:i/>
          <w:iCs/>
          <w:lang w:eastAsia="fr-FR"/>
        </w:rPr>
        <w:t>Critique de la raison pure</w:t>
      </w:r>
      <w:r w:rsidRPr="00FB5729">
        <w:rPr>
          <w:rFonts w:asciiTheme="majorHAnsi" w:hAnsiTheme="majorHAnsi"/>
          <w:lang w:eastAsia="fr-FR"/>
        </w:rPr>
        <w:t>. Kant y montre que la raison humaine, lorsqu’elle prétend connaître le monde comme totalité absolue, se prend elle-même au piège : elle peut démontrer rationnellement une thèse et son contraire.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Autrement dit : la raison produit des conflits avec elle-même. Elle devient son propre adversaire. Très kantien comme ambiance.</w:t>
      </w:r>
    </w:p>
    <w:p w:rsidR="00FB5729" w:rsidRPr="00FB5729" w:rsidRDefault="00FB5729" w:rsidP="00FB5729">
      <w:pPr>
        <w:spacing w:before="100" w:beforeAutospacing="1" w:after="100" w:afterAutospacing="1" w:line="240" w:lineRule="auto"/>
        <w:outlineLvl w:val="1"/>
        <w:rPr>
          <w:rFonts w:asciiTheme="majorHAnsi" w:eastAsia="Times New Roman" w:hAnsiTheme="majorHAnsi" w:cstheme="minorHAnsi"/>
          <w:b/>
          <w:bCs/>
          <w:sz w:val="32"/>
          <w:szCs w:val="36"/>
          <w:lang w:eastAsia="fr-FR"/>
        </w:rPr>
      </w:pPr>
      <w:r w:rsidRPr="00FB5729">
        <w:rPr>
          <w:rFonts w:asciiTheme="majorHAnsi" w:eastAsia="Times New Roman" w:hAnsiTheme="majorHAnsi" w:cstheme="minorHAnsi"/>
          <w:b/>
          <w:bCs/>
          <w:sz w:val="32"/>
          <w:szCs w:val="36"/>
          <w:lang w:eastAsia="fr-FR"/>
        </w:rPr>
        <w:t>1. Le problème général : la raison veut l’inconditionné</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Pour comprendre les antinomies, il faut partir d’une idée simple.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Notre entendement connaît les phénomènes grâce aux concepts, aux catégories, à l’expérience. Mais la raison, elle, ne se contente pas de connaissances partielles. Elle cherche toujours à remonter plus haut, vers une explication complète, totale, définitive.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Par exemple, si un événement a une cause, la raison demande : quelle est la cause de cette cause ? Puis la cause de cette cause ? Et ainsi de suite. Elle cherche une totalité achevée des conditions.</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 xml:space="preserve">Kant appelle cela la recherche de </w:t>
      </w:r>
      <w:r w:rsidRPr="00FB5729">
        <w:rPr>
          <w:rFonts w:asciiTheme="majorHAnsi" w:hAnsiTheme="majorHAnsi"/>
          <w:b/>
          <w:bCs/>
          <w:lang w:eastAsia="fr-FR"/>
        </w:rPr>
        <w:t>l’inconditionné</w:t>
      </w:r>
      <w:r w:rsidRPr="00FB5729">
        <w:rPr>
          <w:rFonts w:asciiTheme="majorHAnsi" w:hAnsiTheme="majorHAnsi"/>
          <w:lang w:eastAsia="fr-FR"/>
        </w:rPr>
        <w:t xml:space="preserve"> : ce qui ne dépend plus d’autre chose, ce qui clôt la série des explications.</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 xml:space="preserve">Le problème est que cette exigence dépasse l’expérience possible. Nous pouvons connaître des objets dans le monde, mais nous ne pouvons pas connaître </w:t>
      </w:r>
      <w:r w:rsidRPr="00FB5729">
        <w:rPr>
          <w:rFonts w:asciiTheme="majorHAnsi" w:hAnsiTheme="majorHAnsi"/>
          <w:b/>
          <w:bCs/>
          <w:lang w:eastAsia="fr-FR"/>
        </w:rPr>
        <w:t>le monde comme totalité absolue</w:t>
      </w:r>
      <w:r w:rsidRPr="00FB5729">
        <w:rPr>
          <w:rFonts w:asciiTheme="majorHAnsi" w:hAnsiTheme="majorHAnsi"/>
          <w:lang w:eastAsia="fr-FR"/>
        </w:rPr>
        <w:t>. Dès que la raison veut saisir le monde entier, l’origine du monde, la totalité des causes ou la structure ultime du réel, elle dépasse les limites légitimes de la connaissance.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C’est là que naissent les antinomies.</w:t>
      </w:r>
    </w:p>
    <w:p w:rsidR="00FB5729" w:rsidRPr="00FB5729" w:rsidRDefault="00FB5729" w:rsidP="00FB5729">
      <w:pPr>
        <w:spacing w:before="100" w:beforeAutospacing="1" w:after="100" w:afterAutospacing="1" w:line="240" w:lineRule="auto"/>
        <w:outlineLvl w:val="1"/>
        <w:rPr>
          <w:rFonts w:asciiTheme="majorHAnsi" w:eastAsia="Times New Roman" w:hAnsiTheme="majorHAnsi" w:cstheme="minorHAnsi"/>
          <w:b/>
          <w:bCs/>
          <w:sz w:val="32"/>
          <w:szCs w:val="36"/>
          <w:lang w:eastAsia="fr-FR"/>
        </w:rPr>
      </w:pPr>
      <w:r w:rsidRPr="00FB5729">
        <w:rPr>
          <w:rFonts w:asciiTheme="majorHAnsi" w:eastAsia="Times New Roman" w:hAnsiTheme="majorHAnsi" w:cstheme="minorHAnsi"/>
          <w:b/>
          <w:bCs/>
          <w:sz w:val="32"/>
          <w:szCs w:val="36"/>
          <w:lang w:eastAsia="fr-FR"/>
        </w:rPr>
        <w:t>2. Qu’est-ce qu’une antinomie ?</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 xml:space="preserve">Une </w:t>
      </w:r>
      <w:r w:rsidRPr="00FB5729">
        <w:rPr>
          <w:rFonts w:asciiTheme="majorHAnsi" w:hAnsiTheme="majorHAnsi"/>
          <w:b/>
          <w:bCs/>
          <w:lang w:eastAsia="fr-FR"/>
        </w:rPr>
        <w:t>antinomie</w:t>
      </w:r>
      <w:r w:rsidRPr="00FB5729">
        <w:rPr>
          <w:rFonts w:asciiTheme="majorHAnsi" w:hAnsiTheme="majorHAnsi"/>
          <w:lang w:eastAsia="fr-FR"/>
        </w:rPr>
        <w:t xml:space="preserve"> est un conflit entre deux propositions opposées, toutes deux apparemment démontrables par la raison.</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Kant présente chaque antinomie sous la forme :</w:t>
      </w:r>
    </w:p>
    <w:p w:rsidR="00FB5729" w:rsidRPr="00FB5729" w:rsidRDefault="00FB5729" w:rsidP="00FB5729">
      <w:pPr>
        <w:pStyle w:val="Sansinterligne"/>
        <w:rPr>
          <w:rFonts w:asciiTheme="majorHAnsi" w:hAnsiTheme="majorHAnsi"/>
          <w:lang w:eastAsia="fr-FR"/>
        </w:rPr>
      </w:pPr>
      <w:r w:rsidRPr="00FB5729">
        <w:rPr>
          <w:rFonts w:asciiTheme="majorHAnsi" w:hAnsiTheme="majorHAnsi"/>
          <w:b/>
          <w:bCs/>
          <w:lang w:eastAsia="fr-FR"/>
        </w:rPr>
        <w:t>Thèse</w:t>
      </w:r>
      <w:r w:rsidRPr="00FB5729">
        <w:rPr>
          <w:rFonts w:asciiTheme="majorHAnsi" w:hAnsiTheme="majorHAnsi"/>
          <w:lang w:eastAsia="fr-FR"/>
        </w:rPr>
        <w:t xml:space="preserve"> : une affirmation métaphysique classique.</w:t>
      </w:r>
    </w:p>
    <w:p w:rsidR="00FB5729" w:rsidRPr="00FB5729" w:rsidRDefault="00FB5729" w:rsidP="00FB5729">
      <w:pPr>
        <w:pStyle w:val="Sansinterligne"/>
        <w:rPr>
          <w:rFonts w:asciiTheme="majorHAnsi" w:hAnsiTheme="majorHAnsi"/>
          <w:lang w:eastAsia="fr-FR"/>
        </w:rPr>
      </w:pPr>
      <w:r w:rsidRPr="00FB5729">
        <w:rPr>
          <w:rFonts w:asciiTheme="majorHAnsi" w:hAnsiTheme="majorHAnsi"/>
          <w:b/>
          <w:bCs/>
          <w:lang w:eastAsia="fr-FR"/>
        </w:rPr>
        <w:t>Antithèse</w:t>
      </w:r>
      <w:r w:rsidRPr="00FB5729">
        <w:rPr>
          <w:rFonts w:asciiTheme="majorHAnsi" w:hAnsiTheme="majorHAnsi"/>
          <w:lang w:eastAsia="fr-FR"/>
        </w:rPr>
        <w:t xml:space="preserve"> : l’affirmation contraire.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Et le plus troublant, c’est que les deux semblent pouvoir être défendues par des arguments rationnels.</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Cela révèle selon Kant que le problème ne vient pas d’un simple mauvais raisonnement, mais d’un mauvais usage de la raison : elle applique ses exigences au-delà du champ de l’expérience possible.</w:t>
      </w:r>
    </w:p>
    <w:p w:rsidR="00FB5729" w:rsidRPr="00FB5729" w:rsidRDefault="00FB5729" w:rsidP="00FB5729">
      <w:pPr>
        <w:spacing w:before="100" w:beforeAutospacing="1" w:after="100" w:afterAutospacing="1" w:line="240" w:lineRule="auto"/>
        <w:outlineLvl w:val="1"/>
        <w:rPr>
          <w:rFonts w:asciiTheme="majorHAnsi" w:eastAsia="Times New Roman" w:hAnsiTheme="majorHAnsi" w:cstheme="minorHAnsi"/>
          <w:b/>
          <w:bCs/>
          <w:sz w:val="32"/>
          <w:szCs w:val="36"/>
          <w:lang w:eastAsia="fr-FR"/>
        </w:rPr>
      </w:pPr>
      <w:r w:rsidRPr="00FB5729">
        <w:rPr>
          <w:rFonts w:asciiTheme="majorHAnsi" w:eastAsia="Times New Roman" w:hAnsiTheme="majorHAnsi" w:cstheme="minorHAnsi"/>
          <w:b/>
          <w:bCs/>
          <w:sz w:val="32"/>
          <w:szCs w:val="36"/>
          <w:lang w:eastAsia="fr-FR"/>
        </w:rPr>
        <w:t>3. Les quatre antinomies</w:t>
      </w:r>
    </w:p>
    <w:p w:rsidR="00FB5729" w:rsidRPr="00FB5729" w:rsidRDefault="00FB5729" w:rsidP="00FB5729">
      <w:pPr>
        <w:spacing w:before="100" w:beforeAutospacing="1" w:after="100" w:afterAutospacing="1" w:line="240" w:lineRule="auto"/>
        <w:rPr>
          <w:rFonts w:asciiTheme="majorHAnsi" w:eastAsia="Times New Roman" w:hAnsiTheme="majorHAnsi" w:cstheme="minorHAnsi"/>
          <w:szCs w:val="24"/>
          <w:lang w:eastAsia="fr-FR"/>
        </w:rPr>
      </w:pPr>
      <w:r w:rsidRPr="00FB5729">
        <w:rPr>
          <w:rFonts w:asciiTheme="majorHAnsi" w:eastAsia="Times New Roman" w:hAnsiTheme="majorHAnsi" w:cstheme="minorHAnsi"/>
          <w:szCs w:val="24"/>
          <w:lang w:eastAsia="fr-FR"/>
        </w:rPr>
        <w:t>Kant distingue quatre grandes antinomies, qui portent sur le monde, la matière, la liberté et Dieu ou l’être nécessaire.</w:t>
      </w:r>
    </w:p>
    <w:p w:rsidR="00FB5729" w:rsidRPr="00FB5729" w:rsidRDefault="00FB5729" w:rsidP="00FB5729">
      <w:pPr>
        <w:spacing w:before="100" w:beforeAutospacing="1" w:after="100" w:afterAutospacing="1" w:line="240" w:lineRule="auto"/>
        <w:outlineLvl w:val="2"/>
        <w:rPr>
          <w:rFonts w:asciiTheme="majorHAnsi" w:eastAsia="Times New Roman" w:hAnsiTheme="majorHAnsi" w:cstheme="minorHAnsi"/>
          <w:b/>
          <w:bCs/>
          <w:sz w:val="24"/>
          <w:szCs w:val="27"/>
          <w:lang w:eastAsia="fr-FR"/>
        </w:rPr>
      </w:pPr>
      <w:r w:rsidRPr="00FB5729">
        <w:rPr>
          <w:rFonts w:asciiTheme="majorHAnsi" w:eastAsia="Times New Roman" w:hAnsiTheme="majorHAnsi" w:cstheme="minorHAnsi"/>
          <w:b/>
          <w:bCs/>
          <w:sz w:val="24"/>
          <w:szCs w:val="27"/>
          <w:lang w:eastAsia="fr-FR"/>
        </w:rPr>
        <w:t>Première antinomie : le monde a-t-il un commencement ?</w:t>
      </w:r>
    </w:p>
    <w:p w:rsidR="00FB5729" w:rsidRPr="00FB5729" w:rsidRDefault="00FB5729" w:rsidP="00FB5729">
      <w:pPr>
        <w:pStyle w:val="Sansinterligne"/>
        <w:rPr>
          <w:rFonts w:asciiTheme="majorHAnsi" w:hAnsiTheme="majorHAnsi"/>
          <w:lang w:eastAsia="fr-FR"/>
        </w:rPr>
      </w:pPr>
      <w:r w:rsidRPr="00FB5729">
        <w:rPr>
          <w:rFonts w:asciiTheme="majorHAnsi" w:hAnsiTheme="majorHAnsi"/>
          <w:b/>
          <w:bCs/>
          <w:lang w:eastAsia="fr-FR"/>
        </w:rPr>
        <w:t>Thèse :</w:t>
      </w:r>
      <w:r w:rsidRPr="00FB5729">
        <w:rPr>
          <w:rFonts w:asciiTheme="majorHAnsi" w:hAnsiTheme="majorHAnsi"/>
          <w:lang w:eastAsia="fr-FR"/>
        </w:rPr>
        <w:br/>
        <w:t>Le monde a un commencement dans le temps et des limites dans l’espace.</w:t>
      </w:r>
    </w:p>
    <w:p w:rsidR="00FB5729" w:rsidRPr="00FB5729" w:rsidRDefault="00FB5729" w:rsidP="00FB5729">
      <w:pPr>
        <w:pStyle w:val="Sansinterligne"/>
        <w:rPr>
          <w:rFonts w:asciiTheme="majorHAnsi" w:hAnsiTheme="majorHAnsi"/>
          <w:lang w:eastAsia="fr-FR"/>
        </w:rPr>
      </w:pPr>
      <w:r w:rsidRPr="00FB5729">
        <w:rPr>
          <w:rFonts w:asciiTheme="majorHAnsi" w:hAnsiTheme="majorHAnsi"/>
          <w:b/>
          <w:bCs/>
          <w:lang w:eastAsia="fr-FR"/>
        </w:rPr>
        <w:t>Antithèse :</w:t>
      </w:r>
      <w:r w:rsidRPr="00FB5729">
        <w:rPr>
          <w:rFonts w:asciiTheme="majorHAnsi" w:hAnsiTheme="majorHAnsi"/>
          <w:lang w:eastAsia="fr-FR"/>
        </w:rPr>
        <w:br/>
        <w:t>Le monde n’a ni commencement dans le temps ni limites dans l’espace ; il est infini.</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La thèse dit : il faut bien que le monde ait commencé, sinon une infinité de temps se serait déjà écoulée, ce qui semble impossible.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L’antithèse répond : si le monde avait commencé, il y aurait eu un temps vide avant lui. Mais un temps vide ne peut pas produire un commencement. Donc le monde n’a pas commencé.</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Kant montre que le conflit vient de ce qu’on traite le monde comme s’il était un objet donné dans sa totalité. Or nous ne faisons jamais l’expérience du monde entier : nous faisons l’expérience de phénomènes dans le monde.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La totalité du monde n’est pas un objet connaissable.</w:t>
      </w:r>
    </w:p>
    <w:p w:rsidR="00FB5729" w:rsidRPr="00FB5729" w:rsidRDefault="00FB5729" w:rsidP="00FB5729">
      <w:pPr>
        <w:spacing w:before="100" w:beforeAutospacing="1" w:after="100" w:afterAutospacing="1" w:line="240" w:lineRule="auto"/>
        <w:outlineLvl w:val="2"/>
        <w:rPr>
          <w:rFonts w:asciiTheme="majorHAnsi" w:eastAsia="Times New Roman" w:hAnsiTheme="majorHAnsi" w:cstheme="minorHAnsi"/>
          <w:b/>
          <w:bCs/>
          <w:sz w:val="24"/>
          <w:szCs w:val="27"/>
          <w:lang w:eastAsia="fr-FR"/>
        </w:rPr>
      </w:pPr>
      <w:r w:rsidRPr="00FB5729">
        <w:rPr>
          <w:rFonts w:asciiTheme="majorHAnsi" w:eastAsia="Times New Roman" w:hAnsiTheme="majorHAnsi" w:cstheme="minorHAnsi"/>
          <w:b/>
          <w:bCs/>
          <w:sz w:val="24"/>
          <w:szCs w:val="27"/>
          <w:lang w:eastAsia="fr-FR"/>
        </w:rPr>
        <w:lastRenderedPageBreak/>
        <w:t>Deuxième antinomie : la matière est-elle composée d’éléments simples ?</w:t>
      </w:r>
    </w:p>
    <w:p w:rsidR="00FB5729" w:rsidRPr="00FB5729" w:rsidRDefault="00FB5729" w:rsidP="00FB5729">
      <w:pPr>
        <w:pStyle w:val="Sansinterligne"/>
        <w:rPr>
          <w:rFonts w:asciiTheme="majorHAnsi" w:hAnsiTheme="majorHAnsi"/>
          <w:lang w:eastAsia="fr-FR"/>
        </w:rPr>
      </w:pPr>
      <w:r w:rsidRPr="00FB5729">
        <w:rPr>
          <w:rFonts w:asciiTheme="majorHAnsi" w:hAnsiTheme="majorHAnsi"/>
          <w:b/>
          <w:bCs/>
          <w:lang w:eastAsia="fr-FR"/>
        </w:rPr>
        <w:t>Thèse :</w:t>
      </w:r>
      <w:r w:rsidRPr="00FB5729">
        <w:rPr>
          <w:rFonts w:asciiTheme="majorHAnsi" w:hAnsiTheme="majorHAnsi"/>
          <w:lang w:eastAsia="fr-FR"/>
        </w:rPr>
        <w:br/>
        <w:t>Tout composé est fait d’éléments simples.</w:t>
      </w:r>
    </w:p>
    <w:p w:rsidR="00FB5729" w:rsidRPr="00FB5729" w:rsidRDefault="00FB5729" w:rsidP="00FB5729">
      <w:pPr>
        <w:pStyle w:val="Sansinterligne"/>
        <w:rPr>
          <w:rFonts w:asciiTheme="majorHAnsi" w:hAnsiTheme="majorHAnsi"/>
          <w:lang w:eastAsia="fr-FR"/>
        </w:rPr>
      </w:pPr>
      <w:r w:rsidRPr="00FB5729">
        <w:rPr>
          <w:rFonts w:asciiTheme="majorHAnsi" w:hAnsiTheme="majorHAnsi"/>
          <w:b/>
          <w:bCs/>
          <w:lang w:eastAsia="fr-FR"/>
        </w:rPr>
        <w:t>Antithèse :</w:t>
      </w:r>
      <w:r w:rsidRPr="00FB5729">
        <w:rPr>
          <w:rFonts w:asciiTheme="majorHAnsi" w:hAnsiTheme="majorHAnsi"/>
          <w:lang w:eastAsia="fr-FR"/>
        </w:rPr>
        <w:br/>
        <w:t>Il n’existe rien de simple ; tout est divisible à l’infini.</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La thèse dit : s’il y a du composé, il faut qu’il soit composé de parties ultimes, indivisibles. Sinon, il n’y aurait jamais de véritable réalité de base.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L’antithèse dit : tout ce qui est dans l’espace est divisible, car l’espace lui-même est divisible à l’infini. Donc aucun élément spatial ne peut être absolument simple.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Là encore, le conflit naît d’une confusion. Les choses que nous connaissons sont des phénomènes inscrits dans l’espace. Or dans l’espace, toute grandeur est divisible. Mais vouloir connaître les choses comme réalités ultimes, indépendamment de notre mode de représentation, c’est sortir du domaine de l’expérience possible.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Kant ne dit donc pas simplement : “la matière est divisible à l’infini” ou “elle est composée d’atomes simples”. Il dit plutôt : nous ne pouvons pas trancher métaphysiquement cette question si nous prétendons parler des choses en soi.</w:t>
      </w:r>
    </w:p>
    <w:p w:rsidR="00FB5729" w:rsidRPr="00FB5729" w:rsidRDefault="00FB5729" w:rsidP="00FB5729">
      <w:pPr>
        <w:spacing w:before="100" w:beforeAutospacing="1" w:after="100" w:afterAutospacing="1" w:line="240" w:lineRule="auto"/>
        <w:outlineLvl w:val="2"/>
        <w:rPr>
          <w:rFonts w:asciiTheme="majorHAnsi" w:eastAsia="Times New Roman" w:hAnsiTheme="majorHAnsi" w:cstheme="minorHAnsi"/>
          <w:b/>
          <w:bCs/>
          <w:sz w:val="24"/>
          <w:szCs w:val="27"/>
          <w:lang w:eastAsia="fr-FR"/>
        </w:rPr>
      </w:pPr>
      <w:r w:rsidRPr="00FB5729">
        <w:rPr>
          <w:rFonts w:asciiTheme="majorHAnsi" w:eastAsia="Times New Roman" w:hAnsiTheme="majorHAnsi" w:cstheme="minorHAnsi"/>
          <w:b/>
          <w:bCs/>
          <w:sz w:val="24"/>
          <w:szCs w:val="27"/>
          <w:lang w:eastAsia="fr-FR"/>
        </w:rPr>
        <w:t>Troisième antinomie : y a-t-il une liberté ?</w:t>
      </w:r>
    </w:p>
    <w:p w:rsidR="00FB5729" w:rsidRPr="00FB5729" w:rsidRDefault="00FB5729" w:rsidP="00FB5729">
      <w:pPr>
        <w:pStyle w:val="Sansinterligne"/>
        <w:rPr>
          <w:rFonts w:asciiTheme="majorHAnsi" w:hAnsiTheme="majorHAnsi"/>
          <w:lang w:eastAsia="fr-FR"/>
        </w:rPr>
      </w:pPr>
      <w:r w:rsidRPr="00FB5729">
        <w:rPr>
          <w:rFonts w:asciiTheme="majorHAnsi" w:hAnsiTheme="majorHAnsi"/>
          <w:b/>
          <w:bCs/>
          <w:lang w:eastAsia="fr-FR"/>
        </w:rPr>
        <w:t>Thèse :</w:t>
      </w:r>
      <w:r w:rsidRPr="00FB5729">
        <w:rPr>
          <w:rFonts w:asciiTheme="majorHAnsi" w:hAnsiTheme="majorHAnsi"/>
          <w:lang w:eastAsia="fr-FR"/>
        </w:rPr>
        <w:br/>
        <w:t>Il existe une causalité libre, c’est-à-dire une capacité de commencer une série d’événements par soi-même.</w:t>
      </w:r>
    </w:p>
    <w:p w:rsidR="00FB5729" w:rsidRPr="00FB5729" w:rsidRDefault="00FB5729" w:rsidP="00FB5729">
      <w:pPr>
        <w:pStyle w:val="Sansinterligne"/>
        <w:rPr>
          <w:rFonts w:asciiTheme="majorHAnsi" w:hAnsiTheme="majorHAnsi"/>
          <w:lang w:eastAsia="fr-FR"/>
        </w:rPr>
      </w:pPr>
      <w:r w:rsidRPr="00FB5729">
        <w:rPr>
          <w:rFonts w:asciiTheme="majorHAnsi" w:hAnsiTheme="majorHAnsi"/>
          <w:b/>
          <w:bCs/>
          <w:lang w:eastAsia="fr-FR"/>
        </w:rPr>
        <w:t>Antithèse :</w:t>
      </w:r>
      <w:r w:rsidRPr="00FB5729">
        <w:rPr>
          <w:rFonts w:asciiTheme="majorHAnsi" w:hAnsiTheme="majorHAnsi"/>
          <w:lang w:eastAsia="fr-FR"/>
        </w:rPr>
        <w:br/>
        <w:t>Il n’y a pas de liberté ; tout arrive selon les lois nécessaires de la nature.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Cette antinomie est particulièrement importante, parce qu’elle concerne la morale.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L’antithèse semble très forte : dans le monde des phénomènes, chaque événement a une cause naturelle. Nos actions elles-mêmes, en tant qu’événements observables, semblent déterminées par des causes psychologiques, sociales, biologiques, etc.</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Mais la thèse dit : si tout est seulement déterminé par une cause antérieure, alors il n’y a jamais de véritable commencement. Il faut donc admettre une causalité libre, capable d’initier une série.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La solution kantienne est subtile : Kant distingue deux points de vue.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 xml:space="preserve">Du point de vue du </w:t>
      </w:r>
      <w:r w:rsidRPr="00FB5729">
        <w:rPr>
          <w:rFonts w:asciiTheme="majorHAnsi" w:hAnsiTheme="majorHAnsi"/>
          <w:b/>
          <w:bCs/>
          <w:lang w:eastAsia="fr-FR"/>
        </w:rPr>
        <w:t>phénomène</w:t>
      </w:r>
      <w:r w:rsidRPr="00FB5729">
        <w:rPr>
          <w:rFonts w:asciiTheme="majorHAnsi" w:hAnsiTheme="majorHAnsi"/>
          <w:lang w:eastAsia="fr-FR"/>
        </w:rPr>
        <w:t>, l’être humain appartient à la nature. Ses actions sont inscrites dans le temps et peuvent être expliquées par des causes.</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 xml:space="preserve">Mais du point de vue du </w:t>
      </w:r>
      <w:r w:rsidRPr="00FB5729">
        <w:rPr>
          <w:rFonts w:asciiTheme="majorHAnsi" w:hAnsiTheme="majorHAnsi"/>
          <w:b/>
          <w:bCs/>
          <w:lang w:eastAsia="fr-FR"/>
        </w:rPr>
        <w:t>noumène</w:t>
      </w:r>
      <w:r w:rsidRPr="00FB5729">
        <w:rPr>
          <w:rFonts w:asciiTheme="majorHAnsi" w:hAnsiTheme="majorHAnsi"/>
          <w:lang w:eastAsia="fr-FR"/>
        </w:rPr>
        <w:t>, c’est-à-dire de l’être intelligible considéré indépendamment de son apparition sensible, on peut penser une causalité libre.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Donc Kant ne prétend pas démontrer théoriquement que nous sommes libres comme on démontrerait un fait scientifique. Il montre plutôt que la liberté n’est pas contradictoire avec le déterminisme naturel, dès lors qu’on distingue le plan phénoménal et le plan intelligible.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C’est essentiel pour la morale : je peux me penser comme libre, non pas comme objet de science, mais comme sujet moral.</w:t>
      </w:r>
    </w:p>
    <w:p w:rsidR="00FB5729" w:rsidRPr="00FB5729" w:rsidRDefault="00FB5729" w:rsidP="00FB5729">
      <w:pPr>
        <w:spacing w:before="100" w:beforeAutospacing="1" w:after="100" w:afterAutospacing="1" w:line="240" w:lineRule="auto"/>
        <w:outlineLvl w:val="2"/>
        <w:rPr>
          <w:rFonts w:asciiTheme="majorHAnsi" w:eastAsia="Times New Roman" w:hAnsiTheme="majorHAnsi" w:cstheme="minorHAnsi"/>
          <w:b/>
          <w:bCs/>
          <w:sz w:val="24"/>
          <w:szCs w:val="27"/>
          <w:lang w:eastAsia="fr-FR"/>
        </w:rPr>
      </w:pPr>
      <w:r w:rsidRPr="00FB5729">
        <w:rPr>
          <w:rFonts w:asciiTheme="majorHAnsi" w:eastAsia="Times New Roman" w:hAnsiTheme="majorHAnsi" w:cstheme="minorHAnsi"/>
          <w:b/>
          <w:bCs/>
          <w:sz w:val="24"/>
          <w:szCs w:val="27"/>
          <w:lang w:eastAsia="fr-FR"/>
        </w:rPr>
        <w:t>Quatrième antinomie : existe-t-il un être nécessaire ?</w:t>
      </w:r>
    </w:p>
    <w:p w:rsidR="00FB5729" w:rsidRPr="00FB5729" w:rsidRDefault="00FB5729" w:rsidP="00FB5729">
      <w:pPr>
        <w:pStyle w:val="Sansinterligne"/>
        <w:rPr>
          <w:rFonts w:asciiTheme="majorHAnsi" w:hAnsiTheme="majorHAnsi"/>
          <w:lang w:eastAsia="fr-FR"/>
        </w:rPr>
      </w:pPr>
      <w:r w:rsidRPr="00FB5729">
        <w:rPr>
          <w:rFonts w:asciiTheme="majorHAnsi" w:hAnsiTheme="majorHAnsi"/>
          <w:b/>
          <w:bCs/>
          <w:lang w:eastAsia="fr-FR"/>
        </w:rPr>
        <w:t>Thèse :</w:t>
      </w:r>
      <w:r w:rsidRPr="00FB5729">
        <w:rPr>
          <w:rFonts w:asciiTheme="majorHAnsi" w:hAnsiTheme="majorHAnsi"/>
          <w:lang w:eastAsia="fr-FR"/>
        </w:rPr>
        <w:br/>
        <w:t>Il existe un être absolument nécessaire, soit dans le monde, soit comme cause du monde.</w:t>
      </w:r>
    </w:p>
    <w:p w:rsidR="00FB5729" w:rsidRPr="00FB5729" w:rsidRDefault="00FB5729" w:rsidP="00FB5729">
      <w:pPr>
        <w:pStyle w:val="Sansinterligne"/>
        <w:rPr>
          <w:rFonts w:asciiTheme="majorHAnsi" w:hAnsiTheme="majorHAnsi"/>
          <w:lang w:eastAsia="fr-FR"/>
        </w:rPr>
      </w:pPr>
      <w:r w:rsidRPr="00FB5729">
        <w:rPr>
          <w:rFonts w:asciiTheme="majorHAnsi" w:hAnsiTheme="majorHAnsi"/>
          <w:b/>
          <w:bCs/>
          <w:lang w:eastAsia="fr-FR"/>
        </w:rPr>
        <w:t>Antithèse :</w:t>
      </w:r>
      <w:r w:rsidRPr="00FB5729">
        <w:rPr>
          <w:rFonts w:asciiTheme="majorHAnsi" w:hAnsiTheme="majorHAnsi"/>
          <w:lang w:eastAsia="fr-FR"/>
        </w:rPr>
        <w:br/>
        <w:t>Il n’existe aucun être absolument nécessaire, ni dans le monde ni hors du monde.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La thèse dit : si tout est contingent, alors rien n’explique vraiment l’existence de la série des choses. Il faut donc un être nécessaire.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L’antithèse dit : tout ce que nous rencontrons dans l’expérience est conditionné. Et si l’on place un être nécessaire hors du monde, on sort de toute expérience possible. On ne peut donc pas affirmer légitimement son existence.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Ici, Kant vise les preuves métaphysiques traditionnelles de l’existence de Dieu. Il ne dit pas exactement : Dieu n’existe pas. Il dit : la raison théorique ne peut pas démontrer l’existence d’un être nécessaire. Dieu n’est pas un objet de connaissance possible.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Là encore, ce qui est ruiné, ce n’est pas toute pensée de Dieu, mais la prétention à en faire un savoir métaphysique.</w:t>
      </w:r>
    </w:p>
    <w:p w:rsidR="00FB5729" w:rsidRPr="00FB5729" w:rsidRDefault="00FB5729" w:rsidP="00FB5729">
      <w:pPr>
        <w:spacing w:before="100" w:beforeAutospacing="1" w:after="100" w:afterAutospacing="1" w:line="240" w:lineRule="auto"/>
        <w:outlineLvl w:val="1"/>
        <w:rPr>
          <w:rFonts w:asciiTheme="majorHAnsi" w:eastAsia="Times New Roman" w:hAnsiTheme="majorHAnsi" w:cstheme="minorHAnsi"/>
          <w:b/>
          <w:bCs/>
          <w:sz w:val="32"/>
          <w:szCs w:val="36"/>
          <w:lang w:eastAsia="fr-FR"/>
        </w:rPr>
      </w:pPr>
      <w:r w:rsidRPr="00FB5729">
        <w:rPr>
          <w:rFonts w:asciiTheme="majorHAnsi" w:eastAsia="Times New Roman" w:hAnsiTheme="majorHAnsi" w:cstheme="minorHAnsi"/>
          <w:b/>
          <w:bCs/>
          <w:sz w:val="32"/>
          <w:szCs w:val="36"/>
          <w:lang w:eastAsia="fr-FR"/>
        </w:rPr>
        <w:lastRenderedPageBreak/>
        <w:t>4. La solution générale de Kant</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La solution kantienne repose sur une distinction fondamentale :</w:t>
      </w:r>
    </w:p>
    <w:p w:rsidR="00FB5729" w:rsidRPr="00FB5729" w:rsidRDefault="00FB5729" w:rsidP="00FB5729">
      <w:pPr>
        <w:pStyle w:val="Sansinterligne"/>
        <w:rPr>
          <w:rFonts w:asciiTheme="majorHAnsi" w:hAnsiTheme="majorHAnsi"/>
          <w:lang w:eastAsia="fr-FR"/>
        </w:rPr>
      </w:pPr>
      <w:r w:rsidRPr="00FB5729">
        <w:rPr>
          <w:rFonts w:asciiTheme="majorHAnsi" w:hAnsiTheme="majorHAnsi"/>
          <w:b/>
          <w:bCs/>
          <w:lang w:eastAsia="fr-FR"/>
        </w:rPr>
        <w:t>Les phénomènes</w:t>
      </w:r>
      <w:r w:rsidRPr="00FB5729">
        <w:rPr>
          <w:rFonts w:asciiTheme="majorHAnsi" w:hAnsiTheme="majorHAnsi"/>
          <w:lang w:eastAsia="fr-FR"/>
        </w:rPr>
        <w:t xml:space="preserve"> : les choses telles qu’elles nous apparaissent, dans l’espace, le temps, et selon les catégories de notre entendement.</w:t>
      </w:r>
    </w:p>
    <w:p w:rsidR="00FB5729" w:rsidRPr="00FB5729" w:rsidRDefault="00FB5729" w:rsidP="00FB5729">
      <w:pPr>
        <w:pStyle w:val="Sansinterligne"/>
        <w:rPr>
          <w:rFonts w:asciiTheme="majorHAnsi" w:hAnsiTheme="majorHAnsi"/>
          <w:lang w:eastAsia="fr-FR"/>
        </w:rPr>
      </w:pPr>
      <w:r w:rsidRPr="00FB5729">
        <w:rPr>
          <w:rFonts w:asciiTheme="majorHAnsi" w:hAnsiTheme="majorHAnsi"/>
          <w:b/>
          <w:bCs/>
          <w:lang w:eastAsia="fr-FR"/>
        </w:rPr>
        <w:t>Les choses en soi</w:t>
      </w:r>
      <w:r w:rsidRPr="00FB5729">
        <w:rPr>
          <w:rFonts w:asciiTheme="majorHAnsi" w:hAnsiTheme="majorHAnsi"/>
          <w:lang w:eastAsia="fr-FR"/>
        </w:rPr>
        <w:t xml:space="preserve"> ou </w:t>
      </w:r>
      <w:r w:rsidRPr="00FB5729">
        <w:rPr>
          <w:rFonts w:asciiTheme="majorHAnsi" w:hAnsiTheme="majorHAnsi"/>
          <w:b/>
          <w:bCs/>
          <w:lang w:eastAsia="fr-FR"/>
        </w:rPr>
        <w:t>noumènes</w:t>
      </w:r>
      <w:r w:rsidRPr="00FB5729">
        <w:rPr>
          <w:rFonts w:asciiTheme="majorHAnsi" w:hAnsiTheme="majorHAnsi"/>
          <w:lang w:eastAsia="fr-FR"/>
        </w:rPr>
        <w:t xml:space="preserve"> : les choses telles qu’elles seraient indépendamment de notre manière de les connaître.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Les antinomies naissent parce que la raison confond ces deux plans. Elle prend les conditions de notre expérience pour des propriétés des choses en soi. Elle croit pouvoir parler du monde comme totalité absolue, alors que nous ne connaissons que des phénomènes déterminés dans une expérience possible.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 xml:space="preserve">Kant appelle cela </w:t>
      </w:r>
      <w:r w:rsidRPr="00FB5729">
        <w:rPr>
          <w:rFonts w:asciiTheme="majorHAnsi" w:hAnsiTheme="majorHAnsi"/>
          <w:b/>
          <w:lang w:eastAsia="fr-FR"/>
        </w:rPr>
        <w:t>l’illusion transcendantale</w:t>
      </w:r>
      <w:r w:rsidRPr="00FB5729">
        <w:rPr>
          <w:rFonts w:asciiTheme="majorHAnsi" w:hAnsiTheme="majorHAnsi"/>
          <w:lang w:eastAsia="fr-FR"/>
        </w:rPr>
        <w:t xml:space="preserve"> : une illusion naturelle de la raison, qui ne disparaît pas complètement même quand on l’a comprise. La raison est spontanément portée à chercher l’absolu, la totalité, le fondement ultime.</w:t>
      </w:r>
    </w:p>
    <w:p w:rsidR="00FB5729" w:rsidRPr="00FB5729" w:rsidRDefault="00FB5729" w:rsidP="00FB5729">
      <w:pPr>
        <w:spacing w:before="100" w:beforeAutospacing="1" w:after="100" w:afterAutospacing="1" w:line="240" w:lineRule="auto"/>
        <w:outlineLvl w:val="1"/>
        <w:rPr>
          <w:rFonts w:asciiTheme="majorHAnsi" w:eastAsia="Times New Roman" w:hAnsiTheme="majorHAnsi" w:cstheme="minorHAnsi"/>
          <w:b/>
          <w:bCs/>
          <w:sz w:val="32"/>
          <w:szCs w:val="36"/>
          <w:lang w:eastAsia="fr-FR"/>
        </w:rPr>
      </w:pPr>
      <w:r w:rsidRPr="00FB5729">
        <w:rPr>
          <w:rFonts w:asciiTheme="majorHAnsi" w:eastAsia="Times New Roman" w:hAnsiTheme="majorHAnsi" w:cstheme="minorHAnsi"/>
          <w:b/>
          <w:bCs/>
          <w:sz w:val="32"/>
          <w:szCs w:val="36"/>
          <w:lang w:eastAsia="fr-FR"/>
        </w:rPr>
        <w:t>5. Les antinomies “mathématiques” et “dynamiques”</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Kant distingue aussi deux types d’antinomies.</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 xml:space="preserve">Les deux premières sont dites </w:t>
      </w:r>
      <w:r w:rsidRPr="00FB5729">
        <w:rPr>
          <w:rFonts w:asciiTheme="majorHAnsi" w:hAnsiTheme="majorHAnsi"/>
          <w:b/>
          <w:bCs/>
          <w:lang w:eastAsia="fr-FR"/>
        </w:rPr>
        <w:t>mathématiques</w:t>
      </w:r>
      <w:r w:rsidRPr="00FB5729">
        <w:rPr>
          <w:rFonts w:asciiTheme="majorHAnsi" w:hAnsiTheme="majorHAnsi"/>
          <w:lang w:eastAsia="fr-FR"/>
        </w:rPr>
        <w:t xml:space="preserve"> : elles portent sur la grandeur du monde et la composition de la matière. Dans ces deux cas, Kant considère que la thèse et l’antithèse sont toutes deux fausses si elles prétendent décrire le monde comme chose en soi. On ne peut pas dire que le monde comme totalité est fini ou infini, composé de simples ou divisible à l’infini, car le monde comme totalité n’est pas un objet donné.</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 xml:space="preserve">Les deux dernières sont dites </w:t>
      </w:r>
      <w:r w:rsidRPr="00FB5729">
        <w:rPr>
          <w:rFonts w:asciiTheme="majorHAnsi" w:hAnsiTheme="majorHAnsi"/>
          <w:b/>
          <w:bCs/>
          <w:lang w:eastAsia="fr-FR"/>
        </w:rPr>
        <w:t>dynamiques</w:t>
      </w:r>
      <w:r w:rsidRPr="00FB5729">
        <w:rPr>
          <w:rFonts w:asciiTheme="majorHAnsi" w:hAnsiTheme="majorHAnsi"/>
          <w:lang w:eastAsia="fr-FR"/>
        </w:rPr>
        <w:t xml:space="preserve"> : elles portent sur la causalité libre et l’être nécessaire. Ici, Kant ouvre une possibilité plus nuancée : la nature phénoménale peut être entièrement déterminée, tout en laissant penser une liberté ou un fondement intelligible hors de l’expérience sensible.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C’est pourquoi la troisième antinomie est décisive pour la philosophie morale kantienne.</w:t>
      </w:r>
    </w:p>
    <w:p w:rsidR="00FB5729" w:rsidRPr="00FB5729" w:rsidRDefault="00FB5729" w:rsidP="00FB5729">
      <w:pPr>
        <w:spacing w:before="100" w:beforeAutospacing="1" w:after="100" w:afterAutospacing="1" w:line="240" w:lineRule="auto"/>
        <w:outlineLvl w:val="1"/>
        <w:rPr>
          <w:rFonts w:asciiTheme="majorHAnsi" w:eastAsia="Times New Roman" w:hAnsiTheme="majorHAnsi" w:cstheme="minorHAnsi"/>
          <w:b/>
          <w:bCs/>
          <w:sz w:val="32"/>
          <w:szCs w:val="36"/>
          <w:lang w:eastAsia="fr-FR"/>
        </w:rPr>
      </w:pPr>
      <w:r w:rsidRPr="00FB5729">
        <w:rPr>
          <w:rFonts w:asciiTheme="majorHAnsi" w:eastAsia="Times New Roman" w:hAnsiTheme="majorHAnsi" w:cstheme="minorHAnsi"/>
          <w:b/>
          <w:bCs/>
          <w:sz w:val="32"/>
          <w:szCs w:val="36"/>
          <w:lang w:eastAsia="fr-FR"/>
        </w:rPr>
        <w:t>6. À quoi servent les antinomies dans le projet critique ?</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Les antinomies servent à montrer la nécessité d’une critique de la raison.</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Avant Kant, la métaphysique prétendait souvent démontrer des vérités sur l’âme, le monde, Dieu, la liberté. Kant montre que, livrée à elle-même, la raison métaphysique tombe dans des contradictions insolubles.</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Mais son but n’est pas de détruire la raison. Il veut en fixer les limites pour sauver son usage légitime.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La leçon est donc double :</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La raison théorique ne peut pas connaître ce qui dépasse l’expérience possible.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Mais certaines idées — comme la liberté, Dieu, l’immortalité — peuvent garder une fonction pratique, morale ou régulatrice.</w:t>
      </w:r>
    </w:p>
    <w:p w:rsidR="00FB5729" w:rsidRPr="00FB5729" w:rsidRDefault="00FB5729" w:rsidP="00FB5729">
      <w:pPr>
        <w:pStyle w:val="Sansinterligne"/>
        <w:rPr>
          <w:rFonts w:asciiTheme="majorHAnsi" w:hAnsiTheme="majorHAnsi"/>
          <w:lang w:eastAsia="fr-FR"/>
        </w:rPr>
      </w:pPr>
      <w:r w:rsidRPr="00FB5729">
        <w:rPr>
          <w:rFonts w:asciiTheme="majorHAnsi" w:hAnsiTheme="majorHAnsi"/>
          <w:lang w:eastAsia="fr-FR"/>
        </w:rPr>
        <w:t>Les antinomies ne sont donc pas une simple erreur à éliminer. Elles révèlent la structure profonde de la raison humaine : nous avons besoin de chercher l’absolu, mais nous ne pouvons pas le connaître comme un objet.</w:t>
      </w:r>
    </w:p>
    <w:p w:rsidR="00FB5729" w:rsidRPr="00FB5729" w:rsidRDefault="00FB5729" w:rsidP="00FB5729">
      <w:pPr>
        <w:spacing w:before="100" w:beforeAutospacing="1" w:after="100" w:afterAutospacing="1" w:line="240" w:lineRule="auto"/>
        <w:outlineLvl w:val="1"/>
        <w:rPr>
          <w:rFonts w:asciiTheme="majorHAnsi" w:eastAsia="Times New Roman" w:hAnsiTheme="majorHAnsi" w:cstheme="minorHAnsi"/>
          <w:b/>
          <w:bCs/>
          <w:sz w:val="32"/>
          <w:szCs w:val="36"/>
          <w:lang w:eastAsia="fr-FR"/>
        </w:rPr>
      </w:pPr>
      <w:r w:rsidRPr="00FB5729">
        <w:rPr>
          <w:rFonts w:asciiTheme="majorHAnsi" w:eastAsia="Times New Roman" w:hAnsiTheme="majorHAnsi" w:cstheme="minorHAnsi"/>
          <w:b/>
          <w:bCs/>
          <w:sz w:val="32"/>
          <w:szCs w:val="36"/>
          <w:lang w:eastAsia="fr-FR"/>
        </w:rPr>
        <w:t>7. Formule synthétique pour des élèves</w:t>
      </w:r>
    </w:p>
    <w:p w:rsidR="00FB5729" w:rsidRPr="00FB5729" w:rsidRDefault="00FB5729" w:rsidP="00FB5729">
      <w:pPr>
        <w:spacing w:before="100" w:beforeAutospacing="1" w:after="100" w:afterAutospacing="1" w:line="240" w:lineRule="auto"/>
        <w:rPr>
          <w:rFonts w:asciiTheme="majorHAnsi" w:eastAsia="Times New Roman" w:hAnsiTheme="majorHAnsi" w:cstheme="minorHAnsi"/>
          <w:szCs w:val="24"/>
          <w:lang w:eastAsia="fr-FR"/>
        </w:rPr>
      </w:pPr>
      <w:r w:rsidRPr="00FB5729">
        <w:rPr>
          <w:rFonts w:asciiTheme="majorHAnsi" w:eastAsia="Times New Roman" w:hAnsiTheme="majorHAnsi" w:cstheme="minorHAnsi"/>
          <w:szCs w:val="24"/>
          <w:lang w:eastAsia="fr-FR"/>
        </w:rPr>
        <w:t>On pourrait résumer ainsi :</w:t>
      </w:r>
    </w:p>
    <w:p w:rsidR="00FB5729" w:rsidRPr="00FB5729" w:rsidRDefault="00FB5729" w:rsidP="00FB5729">
      <w:pPr>
        <w:spacing w:before="100" w:beforeAutospacing="1" w:after="100" w:afterAutospacing="1" w:line="240" w:lineRule="auto"/>
        <w:rPr>
          <w:rFonts w:asciiTheme="majorHAnsi" w:eastAsia="Times New Roman" w:hAnsiTheme="majorHAnsi" w:cstheme="minorHAnsi"/>
          <w:szCs w:val="24"/>
          <w:lang w:eastAsia="fr-FR"/>
        </w:rPr>
      </w:pPr>
      <w:r w:rsidRPr="00FB5729">
        <w:rPr>
          <w:rFonts w:asciiTheme="majorHAnsi" w:eastAsia="Times New Roman" w:hAnsiTheme="majorHAnsi" w:cstheme="minorHAnsi"/>
          <w:szCs w:val="24"/>
          <w:lang w:eastAsia="fr-FR"/>
        </w:rPr>
        <w:t>Les antinomies de la raison pure montrent que la raison, lorsqu’elle veut connaître le monde comme totalité absolue, produit des contradictions : elle peut démontrer à la fois qu’il y a un commencement du monde et qu’il n’y en a pas, qu’il existe une liberté et que tout est déterminé, qu’il existe un être nécessaire et qu’il n’en existe pas. Kant en conclut que ces questions dépassent les limites de l’expérience possible. Il faut donc distinguer les phénomènes, que nous pouvons connaître, et les choses en soi, que nous pouvons seulement penser.</w:t>
      </w:r>
    </w:p>
    <w:p w:rsidR="00FB5729" w:rsidRPr="00FB5729" w:rsidRDefault="00FB5729" w:rsidP="00FB5729">
      <w:pPr>
        <w:spacing w:before="100" w:beforeAutospacing="1" w:after="100" w:afterAutospacing="1" w:line="240" w:lineRule="auto"/>
        <w:rPr>
          <w:rFonts w:asciiTheme="majorHAnsi" w:eastAsia="Times New Roman" w:hAnsiTheme="majorHAnsi" w:cstheme="minorHAnsi"/>
          <w:szCs w:val="24"/>
          <w:lang w:eastAsia="fr-FR"/>
        </w:rPr>
      </w:pPr>
      <w:r w:rsidRPr="00FB5729">
        <w:rPr>
          <w:rFonts w:asciiTheme="majorHAnsi" w:eastAsia="Times New Roman" w:hAnsiTheme="majorHAnsi" w:cstheme="minorHAnsi"/>
          <w:szCs w:val="24"/>
          <w:lang w:eastAsia="fr-FR"/>
        </w:rPr>
        <w:t xml:space="preserve">A retenir : </w:t>
      </w:r>
      <w:r w:rsidRPr="00FB5729">
        <w:rPr>
          <w:rFonts w:asciiTheme="majorHAnsi" w:eastAsia="Times New Roman" w:hAnsiTheme="majorHAnsi" w:cstheme="minorHAnsi"/>
          <w:b/>
          <w:bCs/>
          <w:szCs w:val="24"/>
          <w:lang w:eastAsia="fr-FR"/>
        </w:rPr>
        <w:t>la raison se contredit lorsqu’elle veut transformer ses idées en connaissances.</w:t>
      </w:r>
    </w:p>
    <w:p w:rsidR="006955FE" w:rsidRPr="00FB5729" w:rsidRDefault="006955FE">
      <w:pPr>
        <w:rPr>
          <w:rFonts w:asciiTheme="majorHAnsi" w:hAnsiTheme="majorHAnsi" w:cstheme="minorHAnsi"/>
          <w:sz w:val="20"/>
        </w:rPr>
      </w:pPr>
    </w:p>
    <w:sectPr w:rsidR="006955FE" w:rsidRPr="00FB5729" w:rsidSect="00FB5729">
      <w:footerReference w:type="default" r:id="rId6"/>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117B" w:rsidRDefault="00F8117B" w:rsidP="00FB5729">
      <w:pPr>
        <w:spacing w:after="0" w:line="240" w:lineRule="auto"/>
      </w:pPr>
      <w:r>
        <w:separator/>
      </w:r>
    </w:p>
  </w:endnote>
  <w:endnote w:type="continuationSeparator" w:id="1">
    <w:p w:rsidR="00F8117B" w:rsidRDefault="00F8117B" w:rsidP="00FB572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00547"/>
      <w:docPartObj>
        <w:docPartGallery w:val="Page Numbers (Bottom of Page)"/>
        <w:docPartUnique/>
      </w:docPartObj>
    </w:sdtPr>
    <w:sdtContent>
      <w:p w:rsidR="00FB5729" w:rsidRDefault="00FB5729">
        <w:pPr>
          <w:pStyle w:val="Pieddepage"/>
          <w:jc w:val="right"/>
        </w:pPr>
        <w:fldSimple w:instr=" PAGE   \* MERGEFORMAT ">
          <w:r>
            <w:rPr>
              <w:noProof/>
            </w:rPr>
            <w:t>3</w:t>
          </w:r>
        </w:fldSimple>
      </w:p>
    </w:sdtContent>
  </w:sdt>
  <w:p w:rsidR="00FB5729" w:rsidRDefault="00FB5729">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117B" w:rsidRDefault="00F8117B" w:rsidP="00FB5729">
      <w:pPr>
        <w:spacing w:after="0" w:line="240" w:lineRule="auto"/>
      </w:pPr>
      <w:r>
        <w:separator/>
      </w:r>
    </w:p>
  </w:footnote>
  <w:footnote w:type="continuationSeparator" w:id="1">
    <w:p w:rsidR="00F8117B" w:rsidRDefault="00F8117B" w:rsidP="00FB572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FB5729"/>
    <w:rsid w:val="006955FE"/>
    <w:rsid w:val="00F8117B"/>
    <w:rsid w:val="00FB5729"/>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55FE"/>
  </w:style>
  <w:style w:type="paragraph" w:styleId="Titre2">
    <w:name w:val="heading 2"/>
    <w:basedOn w:val="Normal"/>
    <w:link w:val="Titre2Car"/>
    <w:uiPriority w:val="9"/>
    <w:qFormat/>
    <w:rsid w:val="00FB5729"/>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link w:val="Titre3Car"/>
    <w:uiPriority w:val="9"/>
    <w:qFormat/>
    <w:rsid w:val="00FB5729"/>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FB5729"/>
    <w:rPr>
      <w:rFonts w:ascii="Times New Roman" w:eastAsia="Times New Roman" w:hAnsi="Times New Roman" w:cs="Times New Roman"/>
      <w:b/>
      <w:bCs/>
      <w:sz w:val="36"/>
      <w:szCs w:val="36"/>
      <w:lang w:eastAsia="fr-FR"/>
    </w:rPr>
  </w:style>
  <w:style w:type="character" w:customStyle="1" w:styleId="Titre3Car">
    <w:name w:val="Titre 3 Car"/>
    <w:basedOn w:val="Policepardfaut"/>
    <w:link w:val="Titre3"/>
    <w:uiPriority w:val="9"/>
    <w:rsid w:val="00FB5729"/>
    <w:rPr>
      <w:rFonts w:ascii="Times New Roman" w:eastAsia="Times New Roman" w:hAnsi="Times New Roman" w:cs="Times New Roman"/>
      <w:b/>
      <w:bCs/>
      <w:sz w:val="27"/>
      <w:szCs w:val="27"/>
      <w:lang w:eastAsia="fr-FR"/>
    </w:rPr>
  </w:style>
  <w:style w:type="paragraph" w:styleId="NormalWeb">
    <w:name w:val="Normal (Web)"/>
    <w:basedOn w:val="Normal"/>
    <w:uiPriority w:val="99"/>
    <w:semiHidden/>
    <w:unhideWhenUsed/>
    <w:rsid w:val="00FB5729"/>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FB5729"/>
    <w:rPr>
      <w:b/>
      <w:bCs/>
    </w:rPr>
  </w:style>
  <w:style w:type="character" w:styleId="Accentuation">
    <w:name w:val="Emphasis"/>
    <w:basedOn w:val="Policepardfaut"/>
    <w:uiPriority w:val="20"/>
    <w:qFormat/>
    <w:rsid w:val="00FB5729"/>
    <w:rPr>
      <w:i/>
      <w:iCs/>
    </w:rPr>
  </w:style>
  <w:style w:type="paragraph" w:styleId="En-tte">
    <w:name w:val="header"/>
    <w:basedOn w:val="Normal"/>
    <w:link w:val="En-tteCar"/>
    <w:uiPriority w:val="99"/>
    <w:semiHidden/>
    <w:unhideWhenUsed/>
    <w:rsid w:val="00FB5729"/>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FB5729"/>
  </w:style>
  <w:style w:type="paragraph" w:styleId="Pieddepage">
    <w:name w:val="footer"/>
    <w:basedOn w:val="Normal"/>
    <w:link w:val="PieddepageCar"/>
    <w:uiPriority w:val="99"/>
    <w:unhideWhenUsed/>
    <w:rsid w:val="00FB572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B5729"/>
  </w:style>
  <w:style w:type="paragraph" w:styleId="Sansinterligne">
    <w:name w:val="No Spacing"/>
    <w:uiPriority w:val="1"/>
    <w:qFormat/>
    <w:rsid w:val="00FB5729"/>
    <w:pPr>
      <w:spacing w:after="0" w:line="240" w:lineRule="auto"/>
    </w:pPr>
  </w:style>
</w:styles>
</file>

<file path=word/webSettings.xml><?xml version="1.0" encoding="utf-8"?>
<w:webSettings xmlns:r="http://schemas.openxmlformats.org/officeDocument/2006/relationships" xmlns:w="http://schemas.openxmlformats.org/wordprocessingml/2006/main">
  <w:divs>
    <w:div w:id="896211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1563</Words>
  <Characters>8602</Characters>
  <Application>Microsoft Office Word</Application>
  <DocSecurity>0</DocSecurity>
  <Lines>71</Lines>
  <Paragraphs>20</Paragraphs>
  <ScaleCrop>false</ScaleCrop>
  <Company/>
  <LinksUpToDate>false</LinksUpToDate>
  <CharactersWithSpaces>10145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PCDiscounts.fr</dc:creator>
  <cp:lastModifiedBy>PCDiscounts.fr</cp:lastModifiedBy>
  <cp:revision>1</cp:revision>
  <dcterms:created xsi:type="dcterms:W3CDTF">2026-05-25T08:13:00Z</dcterms:created>
  <dcterms:modified xsi:type="dcterms:W3CDTF">2026-05-25T08:20:00Z</dcterms:modified>
</cp:coreProperties>
</file>